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Relação dos Licitantes e Contratados Sancionados</w:t>
      </w:r>
      <w:bookmarkEnd w:id="0"/>
    </w:p>
    <w:p>
      <w:pPr/>
      <w:r>
        <w:rPr/>
        <w:t xml:space="preserve">.</w:t>
      </w:r>
    </w:p>
    <w:p/>
    <w:p>
      <w:bookmarkStart w:id="1" w:name="_Toc1"/>
      <w:r>
        <w:t>Relação dos Licitantes e Contratados Sancionados</w:t>
      </w:r>
      <w:bookmarkEnd w:id="1"/>
    </w:p>
    <w:p>
      <w:pPr/>
      <w:r>
        <w:rPr>
          <w:b w:val="1"/>
          <w:bCs w:val="1"/>
        </w:rPr>
        <w:t xml:space="preserve">📄 Nos últimos 5 anos não há licitantes e/ou contratados sancionados.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2026-04-18T11:32:13-03:00</dcterms:created>
  <dcterms:modified xsi:type="dcterms:W3CDTF">2026-04-18T11:32:13-03:00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